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39" w:rsidRDefault="00F67839" w:rsidP="00F67839">
      <w:pPr>
        <w:pStyle w:val="Heading1"/>
      </w:pPr>
      <w:bookmarkStart w:id="0" w:name="_GoBack"/>
      <w:bookmarkEnd w:id="0"/>
      <w:r>
        <w:t xml:space="preserve">Par </w:t>
      </w:r>
      <w:r w:rsidR="003E2047" w:rsidRPr="003E2047">
        <w:t>informācijas atklāšanu klientiem</w:t>
      </w:r>
      <w:r w:rsidR="005F2951">
        <w:t xml:space="preserve"> un</w:t>
      </w:r>
      <w:r w:rsidR="00DC0702">
        <w:t xml:space="preserve"> </w:t>
      </w:r>
      <w:r w:rsidR="000051F1">
        <w:t>klientu līdzekļu turēšanas diversifikāciju</w:t>
      </w:r>
      <w:r w:rsidR="00B1374A" w:rsidRPr="00B1374A">
        <w:t xml:space="preserve"> </w:t>
      </w:r>
    </w:p>
    <w:p w:rsidR="00F67839" w:rsidRDefault="00F67839" w:rsidP="00F67839">
      <w:pPr>
        <w:pStyle w:val="Heading1"/>
      </w:pPr>
    </w:p>
    <w:p w:rsidR="00F67839" w:rsidRPr="00034376" w:rsidRDefault="00F67839" w:rsidP="00034376">
      <w:pPr>
        <w:spacing w:after="0" w:line="240" w:lineRule="auto"/>
        <w:jc w:val="both"/>
        <w:rPr>
          <w:rFonts w:ascii="Times New Roman" w:eastAsia="Times New Roman" w:hAnsi="Times New Roman" w:cs="Times New Roman"/>
          <w:sz w:val="24"/>
          <w:szCs w:val="20"/>
          <w:lang w:val="lv-LV"/>
        </w:rPr>
      </w:pPr>
      <w:r w:rsidRPr="006628B8">
        <w:rPr>
          <w:rFonts w:ascii="Times New Roman" w:eastAsia="Times New Roman" w:hAnsi="Times New Roman" w:cs="Times New Roman"/>
          <w:sz w:val="24"/>
          <w:szCs w:val="20"/>
          <w:lang w:val="lv-LV"/>
        </w:rPr>
        <w:t xml:space="preserve">Finanšu instrumentu tirgus dalībniekiem, kuri klientiem sniedz </w:t>
      </w:r>
      <w:r w:rsidR="006628B8" w:rsidRPr="006628B8">
        <w:rPr>
          <w:rFonts w:ascii="Times New Roman" w:eastAsia="Times New Roman" w:hAnsi="Times New Roman" w:cs="Times New Roman"/>
          <w:sz w:val="24"/>
          <w:szCs w:val="20"/>
          <w:lang w:val="lv-LV"/>
        </w:rPr>
        <w:t>ieguldījumu</w:t>
      </w:r>
      <w:r w:rsidRPr="006628B8">
        <w:rPr>
          <w:rFonts w:ascii="Times New Roman" w:eastAsia="Times New Roman" w:hAnsi="Times New Roman" w:cs="Times New Roman"/>
          <w:sz w:val="24"/>
          <w:szCs w:val="20"/>
          <w:lang w:val="lv-LV"/>
        </w:rPr>
        <w:t xml:space="preserve"> pakalpojumu</w:t>
      </w:r>
      <w:r w:rsidR="006628B8" w:rsidRPr="006628B8">
        <w:rPr>
          <w:rFonts w:ascii="Times New Roman" w:eastAsia="Times New Roman" w:hAnsi="Times New Roman" w:cs="Times New Roman"/>
          <w:sz w:val="24"/>
          <w:szCs w:val="20"/>
          <w:lang w:val="lv-LV"/>
        </w:rPr>
        <w:t>s</w:t>
      </w:r>
      <w:r w:rsidR="00034376">
        <w:rPr>
          <w:rFonts w:ascii="Times New Roman" w:eastAsia="Times New Roman" w:hAnsi="Times New Roman" w:cs="Times New Roman"/>
          <w:sz w:val="24"/>
          <w:szCs w:val="20"/>
          <w:lang w:val="lv-LV"/>
        </w:rPr>
        <w:t xml:space="preserve">, ir jāievēro </w:t>
      </w:r>
      <w:r w:rsidRPr="00034376">
        <w:rPr>
          <w:rFonts w:ascii="Times New Roman" w:eastAsia="Times New Roman" w:hAnsi="Times New Roman" w:cs="Times New Roman"/>
          <w:sz w:val="24"/>
          <w:szCs w:val="20"/>
          <w:lang w:val="lv-LV"/>
        </w:rPr>
        <w:t>Komisijas Deleģētā regula (ES) Nr. 2017/565, ar ko papildina Eiropas Parlamenta un Padomes Direktīvu 2014/65/ES (tālāk tekstā – MiFID II) attiecībā uz ieguldījumu brokeru sabiedrību organizatoriskām prasībām un darbības nosacījumiem un jēdzienu definīcijām</w:t>
      </w:r>
      <w:r w:rsidR="00034376" w:rsidRPr="00034376">
        <w:rPr>
          <w:rFonts w:ascii="Times New Roman" w:eastAsia="Times New Roman" w:hAnsi="Times New Roman" w:cs="Times New Roman"/>
          <w:sz w:val="24"/>
          <w:szCs w:val="20"/>
          <w:lang w:val="lv-LV"/>
        </w:rPr>
        <w:t xml:space="preserve"> minētās direktīvas mērķiem</w:t>
      </w:r>
      <w:r w:rsidR="00D474C4">
        <w:rPr>
          <w:rFonts w:ascii="Times New Roman" w:eastAsia="Times New Roman" w:hAnsi="Times New Roman" w:cs="Times New Roman"/>
          <w:sz w:val="24"/>
          <w:szCs w:val="20"/>
          <w:lang w:val="lv-LV"/>
        </w:rPr>
        <w:t>,</w:t>
      </w:r>
      <w:r w:rsidRPr="00034376">
        <w:rPr>
          <w:rFonts w:ascii="Times New Roman" w:eastAsia="Times New Roman" w:hAnsi="Times New Roman" w:cs="Times New Roman"/>
          <w:sz w:val="24"/>
          <w:szCs w:val="20"/>
          <w:lang w:val="lv-LV"/>
        </w:rPr>
        <w:t xml:space="preserve"> (tālāk tekstā – Regula Nr. 2017/565). Minēt</w:t>
      </w:r>
      <w:r w:rsidR="005F2951">
        <w:rPr>
          <w:rFonts w:ascii="Times New Roman" w:eastAsia="Times New Roman" w:hAnsi="Times New Roman" w:cs="Times New Roman"/>
          <w:sz w:val="24"/>
          <w:szCs w:val="20"/>
          <w:lang w:val="lv-LV"/>
        </w:rPr>
        <w:t>ais</w:t>
      </w:r>
      <w:r w:rsidRPr="00034376">
        <w:rPr>
          <w:rFonts w:ascii="Times New Roman" w:eastAsia="Times New Roman" w:hAnsi="Times New Roman" w:cs="Times New Roman"/>
          <w:sz w:val="24"/>
          <w:szCs w:val="20"/>
          <w:lang w:val="lv-LV"/>
        </w:rPr>
        <w:t xml:space="preserve"> Eiropas Savienības tiesību akt</w:t>
      </w:r>
      <w:r w:rsidR="005F2951">
        <w:rPr>
          <w:rFonts w:ascii="Times New Roman" w:eastAsia="Times New Roman" w:hAnsi="Times New Roman" w:cs="Times New Roman"/>
          <w:sz w:val="24"/>
          <w:szCs w:val="20"/>
          <w:lang w:val="lv-LV"/>
        </w:rPr>
        <w:t>s</w:t>
      </w:r>
      <w:r w:rsidRPr="00034376">
        <w:rPr>
          <w:rFonts w:ascii="Times New Roman" w:eastAsia="Times New Roman" w:hAnsi="Times New Roman" w:cs="Times New Roman"/>
          <w:sz w:val="24"/>
          <w:szCs w:val="20"/>
          <w:lang w:val="lv-LV"/>
        </w:rPr>
        <w:t xml:space="preserve"> ir tieši piemērojams visās Eiropas Savienības dalībvalstīs. Papildus Eiropas Savienības tiešā veidā piemērojamam regulējumam finanšu instrumentu tirgus dalībnieki savā darbībā ievēro arī Finanšu instrumentu tirgus likumu</w:t>
      </w:r>
      <w:r w:rsidR="005C61A7" w:rsidRPr="00034376">
        <w:rPr>
          <w:rFonts w:ascii="Times New Roman" w:eastAsia="Times New Roman" w:hAnsi="Times New Roman" w:cs="Times New Roman"/>
          <w:sz w:val="24"/>
          <w:szCs w:val="20"/>
          <w:lang w:val="lv-LV"/>
        </w:rPr>
        <w:t xml:space="preserve"> (tālāk tekstā – FITL)</w:t>
      </w:r>
      <w:r w:rsidRPr="00034376">
        <w:rPr>
          <w:rFonts w:ascii="Times New Roman" w:eastAsia="Times New Roman" w:hAnsi="Times New Roman" w:cs="Times New Roman"/>
          <w:sz w:val="24"/>
          <w:szCs w:val="20"/>
          <w:lang w:val="lv-LV"/>
        </w:rPr>
        <w:t xml:space="preserve">. Finanšu un kapitāla tirgus komisija (tālāk tekstā – FKTK) vērš uzmanību, ka tai nav tiesību sniegt oficiālu tiesību normu skaidrojumu. </w:t>
      </w:r>
    </w:p>
    <w:p w:rsidR="00F67839" w:rsidRPr="00F67839" w:rsidRDefault="00F67839" w:rsidP="00F67839">
      <w:pPr>
        <w:spacing w:after="0" w:line="240" w:lineRule="auto"/>
        <w:jc w:val="both"/>
        <w:rPr>
          <w:rFonts w:ascii="Times New Roman" w:eastAsia="Times New Roman" w:hAnsi="Times New Roman" w:cs="Times New Roman"/>
          <w:sz w:val="24"/>
          <w:szCs w:val="20"/>
          <w:lang w:val="lv-LV"/>
        </w:rPr>
      </w:pPr>
    </w:p>
    <w:p w:rsidR="00F67839" w:rsidRDefault="00F67839" w:rsidP="00F67839">
      <w:pPr>
        <w:spacing w:after="0" w:line="240" w:lineRule="auto"/>
        <w:jc w:val="both"/>
        <w:rPr>
          <w:rFonts w:ascii="Times New Roman" w:eastAsia="Times New Roman" w:hAnsi="Times New Roman" w:cs="Times New Roman"/>
          <w:sz w:val="24"/>
          <w:szCs w:val="20"/>
          <w:lang w:val="lv-LV"/>
        </w:rPr>
      </w:pPr>
      <w:r w:rsidRPr="00F67839">
        <w:rPr>
          <w:rFonts w:ascii="Times New Roman" w:eastAsia="Times New Roman" w:hAnsi="Times New Roman" w:cs="Times New Roman"/>
          <w:sz w:val="24"/>
          <w:szCs w:val="20"/>
          <w:lang w:val="lv-LV"/>
        </w:rPr>
        <w:t>Tomēr, lai finanšu instrumentu tirgus dalībnieki konsekventi piemērotu minētos tiesību aktus Latvijas finanšu sektoram, FKTK pauž savu viedokli, sniedzot atbildes uz finanšu instrumentu tirgus dalībnieku (tālāk tekstā arī – tirgus dalībnieki) biežāk uzdotajiem jautājumiem. Vienlaikus FKTK vērš uzmanību – ja kāds no Eiropas Vērtspapīru un tirgu iestādes turpmāk publiskotajiem paziņojumiem, kurā tiks sniegts skaidrojums par atsevišķu MiFID II regulējuma prasību piemērošanu, būs citādāks nekā FKTK tālāk paustais viedoklis, arī FKTK viedoklis tiks mainīts atbilstoši tam, kāda būs kopējā pieeja Eiropas Savienības dalībvalstīs attiecīgajā MiFID II regulējuma piemērošanas jautājumā.</w:t>
      </w:r>
    </w:p>
    <w:p w:rsidR="006628B8" w:rsidRDefault="006628B8" w:rsidP="00F67839">
      <w:pPr>
        <w:spacing w:after="0" w:line="240" w:lineRule="auto"/>
        <w:jc w:val="both"/>
        <w:rPr>
          <w:rFonts w:ascii="Times New Roman" w:eastAsia="Times New Roman" w:hAnsi="Times New Roman" w:cs="Times New Roman"/>
          <w:sz w:val="24"/>
          <w:szCs w:val="20"/>
          <w:lang w:val="lv-LV"/>
        </w:rPr>
      </w:pPr>
    </w:p>
    <w:p w:rsidR="007B1B39" w:rsidRPr="00F67839" w:rsidRDefault="007B1B39" w:rsidP="00F67839">
      <w:pPr>
        <w:spacing w:after="0" w:line="240" w:lineRule="auto"/>
        <w:jc w:val="both"/>
        <w:rPr>
          <w:rFonts w:ascii="Times New Roman" w:eastAsia="Times New Roman" w:hAnsi="Times New Roman" w:cs="Times New Roman"/>
          <w:sz w:val="24"/>
          <w:szCs w:val="20"/>
          <w:lang w:val="lv-LV"/>
        </w:rPr>
      </w:pPr>
    </w:p>
    <w:p w:rsidR="00303782" w:rsidRDefault="00B24B60" w:rsidP="00B850B1">
      <w:pPr>
        <w:autoSpaceDE w:val="0"/>
        <w:autoSpaceDN w:val="0"/>
        <w:adjustRightInd w:val="0"/>
        <w:spacing w:after="0" w:line="240" w:lineRule="auto"/>
        <w:jc w:val="both"/>
        <w:rPr>
          <w:rFonts w:ascii="Times New Roman" w:eastAsia="Times New Roman" w:hAnsi="Times New Roman" w:cs="Times New Roman"/>
          <w:b/>
          <w:sz w:val="24"/>
          <w:szCs w:val="20"/>
          <w:u w:val="single"/>
          <w:lang w:val="lv-LV"/>
        </w:rPr>
      </w:pPr>
      <w:r>
        <w:rPr>
          <w:rFonts w:ascii="Times New Roman" w:eastAsia="Times New Roman" w:hAnsi="Times New Roman" w:cs="Times New Roman"/>
          <w:b/>
          <w:sz w:val="24"/>
          <w:szCs w:val="20"/>
          <w:u w:val="single"/>
          <w:lang w:val="lv-LV"/>
        </w:rPr>
        <w:t>1</w:t>
      </w:r>
      <w:r w:rsidRPr="005C61A7">
        <w:rPr>
          <w:rFonts w:ascii="Times New Roman" w:eastAsia="Times New Roman" w:hAnsi="Times New Roman" w:cs="Times New Roman"/>
          <w:b/>
          <w:sz w:val="24"/>
          <w:szCs w:val="20"/>
          <w:u w:val="single"/>
          <w:lang w:val="lv-LV"/>
        </w:rPr>
        <w:t>. jautājums</w:t>
      </w:r>
      <w:r w:rsidRPr="006A213E">
        <w:rPr>
          <w:rFonts w:ascii="Times New Roman" w:eastAsia="Times New Roman" w:hAnsi="Times New Roman" w:cs="Times New Roman"/>
          <w:b/>
          <w:sz w:val="24"/>
          <w:szCs w:val="20"/>
          <w:lang w:val="lv-LV"/>
        </w:rPr>
        <w:t xml:space="preserve">: </w:t>
      </w:r>
      <w:r>
        <w:rPr>
          <w:rFonts w:ascii="Times New Roman" w:hAnsi="Times New Roman" w:cs="Times New Roman"/>
          <w:b/>
          <w:sz w:val="24"/>
          <w:szCs w:val="24"/>
          <w:lang w:val="lv-LV"/>
        </w:rPr>
        <w:t xml:space="preserve">Vai vienā </w:t>
      </w:r>
      <w:r w:rsidRPr="006F3B17">
        <w:rPr>
          <w:rFonts w:ascii="Times New Roman" w:hAnsi="Times New Roman" w:cs="Times New Roman"/>
          <w:b/>
          <w:sz w:val="24"/>
          <w:szCs w:val="24"/>
          <w:lang w:val="lv-LV"/>
        </w:rPr>
        <w:t>pārskatā klientam adresēto informāciju par izdevumiem un izmaksām</w:t>
      </w:r>
      <w:r>
        <w:rPr>
          <w:rFonts w:ascii="Times New Roman" w:hAnsi="Times New Roman" w:cs="Times New Roman"/>
          <w:b/>
          <w:sz w:val="24"/>
          <w:szCs w:val="24"/>
          <w:lang w:val="lv-LV"/>
        </w:rPr>
        <w:t xml:space="preserve"> </w:t>
      </w:r>
      <w:r w:rsidRPr="0094634F">
        <w:rPr>
          <w:rFonts w:ascii="Times New Roman" w:hAnsi="Times New Roman" w:cs="Times New Roman"/>
          <w:b/>
          <w:sz w:val="24"/>
          <w:szCs w:val="24"/>
          <w:lang w:val="lv-LV"/>
        </w:rPr>
        <w:t>(</w:t>
      </w:r>
      <w:r w:rsidRPr="0094634F">
        <w:rPr>
          <w:rFonts w:ascii="Times New Roman" w:hAnsi="Times New Roman" w:cs="Times New Roman"/>
          <w:b/>
          <w:i/>
          <w:sz w:val="24"/>
          <w:szCs w:val="24"/>
          <w:lang w:val="lv-LV"/>
        </w:rPr>
        <w:t>ex-post</w:t>
      </w:r>
      <w:r w:rsidRPr="0094634F">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drīkst apkopot </w:t>
      </w:r>
      <w:r w:rsidRPr="006F3B17">
        <w:rPr>
          <w:rFonts w:ascii="Times New Roman" w:hAnsi="Times New Roman" w:cs="Times New Roman"/>
          <w:b/>
          <w:sz w:val="24"/>
          <w:szCs w:val="24"/>
          <w:lang w:val="lv-LV"/>
        </w:rPr>
        <w:t>par visiem klientam sniegt</w:t>
      </w:r>
      <w:r w:rsidR="00303782">
        <w:rPr>
          <w:rFonts w:ascii="Times New Roman" w:hAnsi="Times New Roman" w:cs="Times New Roman"/>
          <w:b/>
          <w:sz w:val="24"/>
          <w:szCs w:val="24"/>
          <w:lang w:val="lv-LV"/>
        </w:rPr>
        <w:t>aj</w:t>
      </w:r>
      <w:r w:rsidRPr="006F3B17">
        <w:rPr>
          <w:rFonts w:ascii="Times New Roman" w:hAnsi="Times New Roman" w:cs="Times New Roman"/>
          <w:b/>
          <w:sz w:val="24"/>
          <w:szCs w:val="24"/>
          <w:lang w:val="lv-LV"/>
        </w:rPr>
        <w:t xml:space="preserve">iem pakalpojumiem gada laikā, </w:t>
      </w:r>
      <w:r w:rsidR="00303782" w:rsidRPr="006F3B17">
        <w:rPr>
          <w:rFonts w:ascii="Times New Roman" w:hAnsi="Times New Roman" w:cs="Times New Roman"/>
          <w:b/>
          <w:sz w:val="24"/>
          <w:szCs w:val="24"/>
          <w:lang w:val="lv-LV"/>
        </w:rPr>
        <w:t xml:space="preserve">atsevišķi </w:t>
      </w:r>
      <w:r w:rsidRPr="006F3B17">
        <w:rPr>
          <w:rFonts w:ascii="Times New Roman" w:hAnsi="Times New Roman" w:cs="Times New Roman"/>
          <w:b/>
          <w:sz w:val="24"/>
          <w:szCs w:val="24"/>
          <w:lang w:val="lv-LV"/>
        </w:rPr>
        <w:t>neatšifrējot izmaksas, kas attiecas uz portfeļa pārvaldības pakalpojumu, un citiem sniegtajiem pakalpojumiem (piemēram, brokeru pakalpojumiem)</w:t>
      </w:r>
      <w:r>
        <w:rPr>
          <w:rFonts w:ascii="Times New Roman" w:hAnsi="Times New Roman" w:cs="Times New Roman"/>
          <w:b/>
          <w:sz w:val="24"/>
          <w:szCs w:val="24"/>
          <w:lang w:val="lv-LV"/>
        </w:rPr>
        <w:t>?</w:t>
      </w:r>
      <w:r w:rsidRPr="0094634F">
        <w:rPr>
          <w:rFonts w:ascii="Times New Roman" w:eastAsia="Times New Roman" w:hAnsi="Times New Roman" w:cs="Times New Roman"/>
          <w:b/>
          <w:sz w:val="24"/>
          <w:szCs w:val="20"/>
          <w:u w:val="single"/>
          <w:lang w:val="lv-LV"/>
        </w:rPr>
        <w:t xml:space="preserve"> </w:t>
      </w:r>
    </w:p>
    <w:p w:rsidR="00303782" w:rsidRDefault="00303782" w:rsidP="00B850B1">
      <w:pPr>
        <w:autoSpaceDE w:val="0"/>
        <w:autoSpaceDN w:val="0"/>
        <w:adjustRightInd w:val="0"/>
        <w:spacing w:after="0" w:line="240" w:lineRule="auto"/>
        <w:jc w:val="both"/>
        <w:rPr>
          <w:rFonts w:ascii="Times New Roman" w:eastAsia="Times New Roman" w:hAnsi="Times New Roman" w:cs="Times New Roman"/>
          <w:b/>
          <w:sz w:val="24"/>
          <w:szCs w:val="20"/>
          <w:u w:val="single"/>
          <w:lang w:val="lv-LV"/>
        </w:rPr>
      </w:pPr>
    </w:p>
    <w:p w:rsidR="00B850B1" w:rsidRPr="00B850B1" w:rsidRDefault="00B24B60" w:rsidP="00B850B1">
      <w:pPr>
        <w:autoSpaceDE w:val="0"/>
        <w:autoSpaceDN w:val="0"/>
        <w:adjustRightInd w:val="0"/>
        <w:spacing w:after="0" w:line="240" w:lineRule="auto"/>
        <w:jc w:val="both"/>
        <w:rPr>
          <w:rFonts w:ascii="Times New Roman" w:hAnsi="Times New Roman" w:cs="Times New Roman"/>
          <w:color w:val="000000"/>
          <w:sz w:val="24"/>
          <w:szCs w:val="24"/>
          <w:lang w:val="lv-LV"/>
        </w:rPr>
      </w:pPr>
      <w:r w:rsidRPr="00730F90">
        <w:rPr>
          <w:rFonts w:ascii="Times New Roman" w:eastAsia="Times New Roman" w:hAnsi="Times New Roman" w:cs="Times New Roman"/>
          <w:b/>
          <w:sz w:val="24"/>
          <w:szCs w:val="20"/>
          <w:u w:val="single"/>
          <w:lang w:val="lv-LV"/>
        </w:rPr>
        <w:t>Atbilde:</w:t>
      </w:r>
      <w:r w:rsidRPr="0094634F">
        <w:rPr>
          <w:rFonts w:ascii="Times New Roman" w:eastAsia="Times New Roman" w:hAnsi="Times New Roman" w:cs="Times New Roman"/>
          <w:b/>
          <w:sz w:val="24"/>
          <w:szCs w:val="20"/>
          <w:lang w:val="lv-LV"/>
        </w:rPr>
        <w:t xml:space="preserve"> </w:t>
      </w:r>
      <w:r w:rsidR="00303782">
        <w:rPr>
          <w:rFonts w:ascii="Times New Roman" w:hAnsi="Times New Roman" w:cs="Times New Roman"/>
          <w:color w:val="000000"/>
          <w:sz w:val="24"/>
          <w:szCs w:val="24"/>
          <w:lang w:val="lv-LV"/>
        </w:rPr>
        <w:t>FKTK</w:t>
      </w:r>
      <w:r w:rsidR="00303782" w:rsidRPr="00B850B1">
        <w:rPr>
          <w:rFonts w:ascii="Times New Roman" w:hAnsi="Times New Roman" w:cs="Times New Roman"/>
          <w:color w:val="000000"/>
          <w:sz w:val="24"/>
          <w:szCs w:val="24"/>
          <w:lang w:val="lv-LV"/>
        </w:rPr>
        <w:t xml:space="preserve"> </w:t>
      </w:r>
      <w:r w:rsidR="00B850B1" w:rsidRPr="00B850B1">
        <w:rPr>
          <w:rFonts w:ascii="Times New Roman" w:hAnsi="Times New Roman" w:cs="Times New Roman"/>
          <w:color w:val="000000"/>
          <w:sz w:val="24"/>
          <w:szCs w:val="24"/>
          <w:lang w:val="lv-LV"/>
        </w:rPr>
        <w:t xml:space="preserve">paskaidro, </w:t>
      </w:r>
      <w:r w:rsidR="00034376" w:rsidRPr="00034376">
        <w:rPr>
          <w:rFonts w:ascii="Times New Roman" w:hAnsi="Times New Roman" w:cs="Times New Roman"/>
          <w:color w:val="000000"/>
          <w:sz w:val="24"/>
          <w:szCs w:val="24"/>
          <w:lang w:val="lv-LV"/>
        </w:rPr>
        <w:t xml:space="preserve">ka informācijas atklāšanu par izdevumiem un izmaksām pēc darījuma </w:t>
      </w:r>
      <w:r w:rsidR="00034376" w:rsidRPr="002D6CED">
        <w:rPr>
          <w:rFonts w:ascii="Times New Roman" w:hAnsi="Times New Roman" w:cs="Times New Roman"/>
          <w:i/>
          <w:color w:val="000000"/>
          <w:sz w:val="24"/>
          <w:szCs w:val="24"/>
          <w:lang w:val="lv-LV"/>
        </w:rPr>
        <w:t xml:space="preserve">(ex-post) </w:t>
      </w:r>
      <w:r w:rsidR="00034376" w:rsidRPr="00034376">
        <w:rPr>
          <w:rFonts w:ascii="Times New Roman" w:hAnsi="Times New Roman" w:cs="Times New Roman"/>
          <w:color w:val="000000"/>
          <w:sz w:val="24"/>
          <w:szCs w:val="24"/>
          <w:lang w:val="lv-LV"/>
        </w:rPr>
        <w:t>reglamentē Regula</w:t>
      </w:r>
      <w:r w:rsidR="00DE1B7C">
        <w:rPr>
          <w:rFonts w:ascii="Times New Roman" w:hAnsi="Times New Roman" w:cs="Times New Roman"/>
          <w:color w:val="000000"/>
          <w:sz w:val="24"/>
          <w:szCs w:val="24"/>
          <w:lang w:val="lv-LV"/>
        </w:rPr>
        <w:t>s Nr.</w:t>
      </w:r>
      <w:r w:rsidR="00034376" w:rsidRPr="00034376">
        <w:rPr>
          <w:rFonts w:ascii="Times New Roman" w:hAnsi="Times New Roman" w:cs="Times New Roman"/>
          <w:color w:val="000000"/>
          <w:sz w:val="24"/>
          <w:szCs w:val="24"/>
          <w:lang w:val="lv-LV"/>
        </w:rPr>
        <w:t xml:space="preserve"> 2017/565 50. panta 2., 9. un 10.</w:t>
      </w:r>
      <w:r w:rsidR="00303782">
        <w:rPr>
          <w:rFonts w:ascii="Times New Roman" w:hAnsi="Times New Roman" w:cs="Times New Roman"/>
          <w:color w:val="000000"/>
          <w:sz w:val="24"/>
          <w:szCs w:val="24"/>
          <w:lang w:val="lv-LV"/>
        </w:rPr>
        <w:t> </w:t>
      </w:r>
      <w:r w:rsidR="00034376" w:rsidRPr="00034376">
        <w:rPr>
          <w:rFonts w:ascii="Times New Roman" w:hAnsi="Times New Roman" w:cs="Times New Roman"/>
          <w:color w:val="000000"/>
          <w:sz w:val="24"/>
          <w:szCs w:val="24"/>
          <w:lang w:val="lv-LV"/>
        </w:rPr>
        <w:t xml:space="preserve">punkts, kuri ir jālasa kopā ar Regulas </w:t>
      </w:r>
      <w:r w:rsidR="00DE1B7C">
        <w:rPr>
          <w:rFonts w:ascii="Times New Roman" w:hAnsi="Times New Roman" w:cs="Times New Roman"/>
          <w:color w:val="000000"/>
          <w:sz w:val="24"/>
          <w:szCs w:val="24"/>
          <w:lang w:val="lv-LV"/>
        </w:rPr>
        <w:t>Nr. </w:t>
      </w:r>
      <w:r w:rsidR="00034376" w:rsidRPr="00034376">
        <w:rPr>
          <w:rFonts w:ascii="Times New Roman" w:hAnsi="Times New Roman" w:cs="Times New Roman"/>
          <w:color w:val="000000"/>
          <w:sz w:val="24"/>
          <w:szCs w:val="24"/>
          <w:lang w:val="lv-LV"/>
        </w:rPr>
        <w:t>2017/565 preambulas 78. un 82. punktu</w:t>
      </w:r>
      <w:r w:rsidR="00034376">
        <w:rPr>
          <w:rFonts w:ascii="Times New Roman" w:hAnsi="Times New Roman" w:cs="Times New Roman"/>
          <w:color w:val="000000"/>
          <w:sz w:val="24"/>
          <w:szCs w:val="24"/>
          <w:lang w:val="lv-LV"/>
        </w:rPr>
        <w:t>.</w:t>
      </w:r>
      <w:r w:rsidR="00B850B1" w:rsidRPr="00B850B1">
        <w:rPr>
          <w:rFonts w:ascii="Times New Roman" w:hAnsi="Times New Roman" w:cs="Times New Roman"/>
          <w:color w:val="000000"/>
          <w:sz w:val="24"/>
          <w:szCs w:val="24"/>
          <w:lang w:val="lv-LV"/>
        </w:rPr>
        <w:t xml:space="preserve">  </w:t>
      </w:r>
    </w:p>
    <w:p w:rsidR="00B850B1" w:rsidRPr="00B850B1" w:rsidRDefault="00B850B1" w:rsidP="00B850B1">
      <w:pPr>
        <w:autoSpaceDE w:val="0"/>
        <w:autoSpaceDN w:val="0"/>
        <w:adjustRightInd w:val="0"/>
        <w:spacing w:after="0" w:line="240" w:lineRule="auto"/>
        <w:jc w:val="both"/>
        <w:rPr>
          <w:rFonts w:ascii="Times New Roman" w:hAnsi="Times New Roman" w:cs="Times New Roman"/>
          <w:color w:val="000000"/>
          <w:sz w:val="24"/>
          <w:szCs w:val="24"/>
          <w:lang w:val="lv-LV"/>
        </w:rPr>
      </w:pPr>
    </w:p>
    <w:p w:rsidR="00807F90" w:rsidRDefault="00034376" w:rsidP="00B850B1">
      <w:pPr>
        <w:autoSpaceDE w:val="0"/>
        <w:autoSpaceDN w:val="0"/>
        <w:adjustRightInd w:val="0"/>
        <w:spacing w:after="0" w:line="240" w:lineRule="auto"/>
        <w:jc w:val="both"/>
        <w:rPr>
          <w:rFonts w:ascii="Times New Roman" w:hAnsi="Times New Roman" w:cs="Times New Roman"/>
          <w:color w:val="000000"/>
          <w:sz w:val="24"/>
          <w:szCs w:val="24"/>
          <w:lang w:val="lv-LV"/>
        </w:rPr>
      </w:pPr>
      <w:r w:rsidRPr="00034376">
        <w:rPr>
          <w:rFonts w:ascii="Times New Roman" w:hAnsi="Times New Roman" w:cs="Times New Roman"/>
          <w:color w:val="000000"/>
          <w:sz w:val="24"/>
          <w:szCs w:val="24"/>
          <w:lang w:val="lv-LV"/>
        </w:rPr>
        <w:t xml:space="preserve">Ņemot vērā </w:t>
      </w:r>
      <w:r w:rsidR="00303782">
        <w:rPr>
          <w:rFonts w:ascii="Times New Roman" w:hAnsi="Times New Roman" w:cs="Times New Roman"/>
          <w:color w:val="000000"/>
          <w:sz w:val="24"/>
          <w:szCs w:val="24"/>
          <w:lang w:val="lv-LV"/>
        </w:rPr>
        <w:t>FKTK</w:t>
      </w:r>
      <w:r w:rsidR="00303782" w:rsidRPr="00034376">
        <w:rPr>
          <w:rFonts w:ascii="Times New Roman" w:hAnsi="Times New Roman" w:cs="Times New Roman"/>
          <w:color w:val="000000"/>
          <w:sz w:val="24"/>
          <w:szCs w:val="24"/>
          <w:lang w:val="lv-LV"/>
        </w:rPr>
        <w:t xml:space="preserve"> </w:t>
      </w:r>
      <w:r w:rsidR="00303782">
        <w:rPr>
          <w:rFonts w:ascii="Times New Roman" w:hAnsi="Times New Roman" w:cs="Times New Roman"/>
          <w:color w:val="000000"/>
          <w:sz w:val="24"/>
          <w:szCs w:val="24"/>
          <w:lang w:val="lv-LV"/>
        </w:rPr>
        <w:t>tīmekļa vietnē</w:t>
      </w:r>
      <w:r w:rsidR="00303782" w:rsidRPr="00034376">
        <w:rPr>
          <w:rFonts w:ascii="Times New Roman" w:hAnsi="Times New Roman" w:cs="Times New Roman"/>
          <w:color w:val="000000"/>
          <w:sz w:val="24"/>
          <w:szCs w:val="24"/>
          <w:lang w:val="lv-LV"/>
        </w:rPr>
        <w:t xml:space="preserve"> </w:t>
      </w:r>
      <w:r w:rsidRPr="00034376">
        <w:rPr>
          <w:rFonts w:ascii="Times New Roman" w:hAnsi="Times New Roman" w:cs="Times New Roman"/>
          <w:color w:val="000000"/>
          <w:sz w:val="24"/>
          <w:szCs w:val="24"/>
          <w:lang w:val="lv-LV"/>
        </w:rPr>
        <w:t xml:space="preserve">25.06.2018. sniegto atbildi uz 3. jautājumu par informācijas atklāšanu klientiem par izdevumiem un izmaksām pēc darījuma, kas izriet no Finanšu instrumentu tirgus likuma un Regulas </w:t>
      </w:r>
      <w:r w:rsidR="00DE1B7C">
        <w:rPr>
          <w:rFonts w:ascii="Times New Roman" w:hAnsi="Times New Roman" w:cs="Times New Roman"/>
          <w:color w:val="000000"/>
          <w:sz w:val="24"/>
          <w:szCs w:val="24"/>
          <w:lang w:val="lv-LV"/>
        </w:rPr>
        <w:t>Nr. </w:t>
      </w:r>
      <w:r w:rsidRPr="00034376">
        <w:rPr>
          <w:rFonts w:ascii="Times New Roman" w:hAnsi="Times New Roman" w:cs="Times New Roman"/>
          <w:color w:val="000000"/>
          <w:sz w:val="24"/>
          <w:szCs w:val="24"/>
          <w:lang w:val="lv-LV"/>
        </w:rPr>
        <w:t xml:space="preserve">2017/565 50. panta 9. punkta prasībām, – iestāde var izvēlēties apkopot informāciju tikai par tādiem finanšu instrumentiem, kuriem izpildījies agregācijas nosacījums (instruments bija rekomendēts, reklamēts vai izplatīts vai uz to attiecas PRIIP vai UCITS KID/KIID sniegšanas prasības), kopā vai par finanšu instrumentu un pakalpojumu veidiem, ja tas iestādei ir izdevīgāk no operacionālā viedokļa un klientam tika </w:t>
      </w:r>
      <w:r w:rsidR="00303782">
        <w:rPr>
          <w:rFonts w:ascii="Times New Roman" w:hAnsi="Times New Roman" w:cs="Times New Roman"/>
          <w:color w:val="000000"/>
          <w:sz w:val="24"/>
          <w:szCs w:val="24"/>
          <w:lang w:val="lv-LV"/>
        </w:rPr>
        <w:t>iz</w:t>
      </w:r>
      <w:r w:rsidRPr="00034376">
        <w:rPr>
          <w:rFonts w:ascii="Times New Roman" w:hAnsi="Times New Roman" w:cs="Times New Roman"/>
          <w:color w:val="000000"/>
          <w:sz w:val="24"/>
          <w:szCs w:val="24"/>
          <w:lang w:val="lv-LV"/>
        </w:rPr>
        <w:t xml:space="preserve">skaidrots agregācijas princips. </w:t>
      </w:r>
    </w:p>
    <w:p w:rsidR="00807F90" w:rsidRDefault="00807F90" w:rsidP="00B850B1">
      <w:pPr>
        <w:autoSpaceDE w:val="0"/>
        <w:autoSpaceDN w:val="0"/>
        <w:adjustRightInd w:val="0"/>
        <w:spacing w:after="0" w:line="240" w:lineRule="auto"/>
        <w:jc w:val="both"/>
        <w:rPr>
          <w:rFonts w:ascii="Times New Roman" w:hAnsi="Times New Roman" w:cs="Times New Roman"/>
          <w:color w:val="000000"/>
          <w:sz w:val="24"/>
          <w:szCs w:val="24"/>
          <w:lang w:val="lv-LV"/>
        </w:rPr>
      </w:pPr>
    </w:p>
    <w:p w:rsidR="00B850B1" w:rsidRPr="00DC18FA" w:rsidRDefault="00034376" w:rsidP="00DC18FA">
      <w:pPr>
        <w:autoSpaceDE w:val="0"/>
        <w:autoSpaceDN w:val="0"/>
        <w:adjustRightInd w:val="0"/>
        <w:spacing w:after="0" w:line="240" w:lineRule="auto"/>
        <w:jc w:val="both"/>
        <w:rPr>
          <w:rFonts w:ascii="Times New Roman" w:hAnsi="Times New Roman" w:cs="Times New Roman"/>
          <w:color w:val="000000"/>
          <w:sz w:val="24"/>
          <w:szCs w:val="24"/>
          <w:lang w:val="lv-LV"/>
        </w:rPr>
      </w:pPr>
      <w:r w:rsidRPr="00034376">
        <w:rPr>
          <w:rFonts w:ascii="Times New Roman" w:hAnsi="Times New Roman" w:cs="Times New Roman"/>
          <w:color w:val="000000"/>
          <w:sz w:val="24"/>
          <w:szCs w:val="24"/>
          <w:lang w:val="lv-LV"/>
        </w:rPr>
        <w:t xml:space="preserve">Tomēr portfeļa pārvaldīšanas gadījumā ieguldījumu lēmumus pieņem nevis pats klients, bet viņa vārdā portfeļu pārvaldnieks, tāpēc apkopoto informāciju par visiem izdevumiem un izmaksām un ilustrāciju par izdevumu ietekmi uz ienesīgumu ir nepieciešams sniegt klientam </w:t>
      </w:r>
      <w:r w:rsidR="00807F90">
        <w:rPr>
          <w:rFonts w:ascii="Times New Roman" w:hAnsi="Times New Roman" w:cs="Times New Roman"/>
          <w:color w:val="000000"/>
          <w:sz w:val="24"/>
          <w:szCs w:val="24"/>
          <w:lang w:val="lv-LV"/>
        </w:rPr>
        <w:t xml:space="preserve">vismaz </w:t>
      </w:r>
      <w:r w:rsidRPr="00034376">
        <w:rPr>
          <w:rFonts w:ascii="Times New Roman" w:hAnsi="Times New Roman" w:cs="Times New Roman"/>
          <w:color w:val="000000"/>
          <w:sz w:val="24"/>
          <w:szCs w:val="24"/>
          <w:lang w:val="lv-LV"/>
        </w:rPr>
        <w:t xml:space="preserve">reizi gadā par visu portfeli kopā, neapvienojot ar citiem sniegtajiem pakalpojumiem, lai klients varētu </w:t>
      </w:r>
      <w:r w:rsidRPr="00034376">
        <w:rPr>
          <w:rFonts w:ascii="Times New Roman" w:hAnsi="Times New Roman" w:cs="Times New Roman"/>
          <w:color w:val="000000"/>
          <w:sz w:val="24"/>
          <w:szCs w:val="24"/>
          <w:lang w:val="lv-LV"/>
        </w:rPr>
        <w:lastRenderedPageBreak/>
        <w:t xml:space="preserve">salīdzināt portfeļa pārvaldīšanas rezultātus ar </w:t>
      </w:r>
      <w:r w:rsidRPr="00807F90">
        <w:rPr>
          <w:rFonts w:ascii="Times New Roman" w:hAnsi="Times New Roman" w:cs="Times New Roman"/>
          <w:i/>
          <w:color w:val="000000"/>
          <w:sz w:val="24"/>
          <w:szCs w:val="24"/>
          <w:lang w:val="lv-LV"/>
        </w:rPr>
        <w:t>ex-ante</w:t>
      </w:r>
      <w:r w:rsidRPr="00034376">
        <w:rPr>
          <w:rFonts w:ascii="Times New Roman" w:hAnsi="Times New Roman" w:cs="Times New Roman"/>
          <w:color w:val="000000"/>
          <w:sz w:val="24"/>
          <w:szCs w:val="24"/>
          <w:lang w:val="lv-LV"/>
        </w:rPr>
        <w:t xml:space="preserve"> sniegto informāciju un citu pārvaldnieku darba rezultātiem. Minēto pārskatu var sagatavot kā atsevišķu dokumentu vai ietvert periodiskā pārskatā par portfeli, kuru klients saņem saskaņā ar Regulas </w:t>
      </w:r>
      <w:r w:rsidR="00DE1B7C">
        <w:rPr>
          <w:rFonts w:ascii="Times New Roman" w:hAnsi="Times New Roman" w:cs="Times New Roman"/>
          <w:color w:val="000000"/>
          <w:sz w:val="24"/>
          <w:szCs w:val="24"/>
          <w:lang w:val="lv-LV"/>
        </w:rPr>
        <w:t>Nr. </w:t>
      </w:r>
      <w:r w:rsidRPr="00034376">
        <w:rPr>
          <w:rFonts w:ascii="Times New Roman" w:hAnsi="Times New Roman" w:cs="Times New Roman"/>
          <w:color w:val="000000"/>
          <w:sz w:val="24"/>
          <w:szCs w:val="24"/>
          <w:lang w:val="lv-LV"/>
        </w:rPr>
        <w:t>2017/565 60. panta 2. punkta (d) apakšpunkta prasībām.</w:t>
      </w:r>
    </w:p>
    <w:p w:rsidR="00334E0B" w:rsidRPr="00334E0B" w:rsidRDefault="00334E0B" w:rsidP="00334E0B">
      <w:pPr>
        <w:spacing w:after="0" w:line="240" w:lineRule="auto"/>
        <w:jc w:val="both"/>
        <w:rPr>
          <w:rFonts w:ascii="Times New Roman" w:hAnsi="Times New Roman" w:cs="Times New Roman"/>
          <w:sz w:val="24"/>
          <w:szCs w:val="24"/>
          <w:lang w:val="lv-LV"/>
        </w:rPr>
      </w:pPr>
    </w:p>
    <w:p w:rsidR="000051F1" w:rsidRDefault="000051F1" w:rsidP="00781429">
      <w:pPr>
        <w:spacing w:after="0" w:line="240" w:lineRule="auto"/>
        <w:jc w:val="both"/>
        <w:rPr>
          <w:rFonts w:ascii="Times New Roman" w:eastAsia="Times New Roman" w:hAnsi="Times New Roman" w:cs="Times New Roman"/>
          <w:b/>
          <w:sz w:val="24"/>
          <w:szCs w:val="20"/>
          <w:u w:val="single"/>
          <w:lang w:val="lv-LV"/>
        </w:rPr>
      </w:pPr>
    </w:p>
    <w:p w:rsidR="000051F1" w:rsidRPr="002D6CED" w:rsidRDefault="000051F1" w:rsidP="002D6CED">
      <w:pPr>
        <w:autoSpaceDE w:val="0"/>
        <w:autoSpaceDN w:val="0"/>
        <w:adjustRightInd w:val="0"/>
        <w:spacing w:after="0" w:line="240" w:lineRule="auto"/>
        <w:jc w:val="both"/>
        <w:rPr>
          <w:rFonts w:ascii="Times New Roman" w:eastAsia="Times New Roman" w:hAnsi="Times New Roman" w:cs="Times New Roman"/>
          <w:b/>
          <w:sz w:val="24"/>
          <w:szCs w:val="20"/>
          <w:u w:val="single"/>
          <w:lang w:val="lv-LV"/>
        </w:rPr>
      </w:pPr>
      <w:r w:rsidRPr="002D6CED">
        <w:rPr>
          <w:rFonts w:ascii="Times New Roman" w:eastAsia="Times New Roman" w:hAnsi="Times New Roman" w:cs="Times New Roman"/>
          <w:b/>
          <w:sz w:val="24"/>
          <w:szCs w:val="20"/>
          <w:u w:val="single"/>
          <w:lang w:val="lv-LV"/>
        </w:rPr>
        <w:t>2. jautājums</w:t>
      </w:r>
      <w:r w:rsidRPr="002D6CED">
        <w:rPr>
          <w:rFonts w:ascii="Times New Roman" w:eastAsia="Times New Roman" w:hAnsi="Times New Roman" w:cs="Times New Roman"/>
          <w:b/>
          <w:sz w:val="24"/>
          <w:szCs w:val="20"/>
          <w:lang w:val="lv-LV"/>
        </w:rPr>
        <w:t>: Saskaņā ar FITL 129. panta 4.</w:t>
      </w:r>
      <w:r w:rsidRPr="00FE37AD">
        <w:rPr>
          <w:rFonts w:ascii="Times New Roman" w:eastAsia="Times New Roman" w:hAnsi="Times New Roman" w:cs="Times New Roman"/>
          <w:b/>
          <w:sz w:val="24"/>
          <w:szCs w:val="20"/>
          <w:vertAlign w:val="superscript"/>
          <w:lang w:val="lv-LV"/>
        </w:rPr>
        <w:t>1</w:t>
      </w:r>
      <w:r w:rsidRPr="002D6CED">
        <w:rPr>
          <w:rFonts w:ascii="Times New Roman" w:eastAsia="Times New Roman" w:hAnsi="Times New Roman" w:cs="Times New Roman"/>
          <w:b/>
          <w:sz w:val="24"/>
          <w:szCs w:val="20"/>
          <w:lang w:val="lv-LV"/>
        </w:rPr>
        <w:t xml:space="preserve"> daļas prasībām ieguldījumu brokeru sabiedrība nevar turēt savā mātesbankā vairāk </w:t>
      </w:r>
      <w:r w:rsidR="00A32784" w:rsidRPr="002D6CED">
        <w:rPr>
          <w:rFonts w:ascii="Times New Roman" w:eastAsia="Times New Roman" w:hAnsi="Times New Roman" w:cs="Times New Roman"/>
          <w:b/>
          <w:sz w:val="24"/>
          <w:szCs w:val="20"/>
          <w:lang w:val="lv-LV"/>
        </w:rPr>
        <w:t xml:space="preserve">par </w:t>
      </w:r>
      <w:r w:rsidRPr="002D6CED">
        <w:rPr>
          <w:rFonts w:ascii="Times New Roman" w:eastAsia="Times New Roman" w:hAnsi="Times New Roman" w:cs="Times New Roman"/>
          <w:b/>
          <w:sz w:val="24"/>
          <w:szCs w:val="20"/>
          <w:lang w:val="lv-LV"/>
        </w:rPr>
        <w:t>20% no klientu līdzekļiem, izņemot, ja sabiedrība FKTK var pierādīt</w:t>
      </w:r>
      <w:r w:rsidR="00A32784" w:rsidRPr="002D6CED">
        <w:rPr>
          <w:rFonts w:ascii="Times New Roman" w:eastAsia="Times New Roman" w:hAnsi="Times New Roman" w:cs="Times New Roman"/>
          <w:b/>
          <w:sz w:val="24"/>
          <w:szCs w:val="20"/>
          <w:lang w:val="lv-LV"/>
        </w:rPr>
        <w:t>,</w:t>
      </w:r>
      <w:r w:rsidRPr="002D6CED">
        <w:rPr>
          <w:rFonts w:ascii="Times New Roman" w:eastAsia="Times New Roman" w:hAnsi="Times New Roman" w:cs="Times New Roman"/>
          <w:b/>
          <w:sz w:val="24"/>
          <w:szCs w:val="20"/>
          <w:lang w:val="lv-LV"/>
        </w:rPr>
        <w:t xml:space="preserve"> ka minētās prasības nav samērīgas, ņemot vērā tās darbības būtību, ap</w:t>
      </w:r>
      <w:r w:rsidR="00A32784" w:rsidRPr="002D6CED">
        <w:rPr>
          <w:rFonts w:ascii="Times New Roman" w:eastAsia="Times New Roman" w:hAnsi="Times New Roman" w:cs="Times New Roman"/>
          <w:b/>
          <w:sz w:val="24"/>
          <w:szCs w:val="20"/>
          <w:lang w:val="lv-LV"/>
        </w:rPr>
        <w:t>mēru</w:t>
      </w:r>
      <w:r w:rsidRPr="002D6CED">
        <w:rPr>
          <w:rFonts w:ascii="Times New Roman" w:eastAsia="Times New Roman" w:hAnsi="Times New Roman" w:cs="Times New Roman"/>
          <w:b/>
          <w:sz w:val="24"/>
          <w:szCs w:val="20"/>
          <w:lang w:val="lv-LV"/>
        </w:rPr>
        <w:t xml:space="preserve"> un sarežģītību, kā arī drošību, ko piedāvā minētās trešās personas, un ja ieguldījumu brokeru sabiedrības turēto klienta naudas līdzekļu ap</w:t>
      </w:r>
      <w:r w:rsidR="00A32784" w:rsidRPr="002D6CED">
        <w:rPr>
          <w:rFonts w:ascii="Times New Roman" w:eastAsia="Times New Roman" w:hAnsi="Times New Roman" w:cs="Times New Roman"/>
          <w:b/>
          <w:sz w:val="24"/>
          <w:szCs w:val="20"/>
          <w:lang w:val="lv-LV"/>
        </w:rPr>
        <w:t>mērs</w:t>
      </w:r>
      <w:r w:rsidRPr="002D6CED">
        <w:rPr>
          <w:rFonts w:ascii="Times New Roman" w:eastAsia="Times New Roman" w:hAnsi="Times New Roman" w:cs="Times New Roman"/>
          <w:b/>
          <w:sz w:val="24"/>
          <w:szCs w:val="20"/>
          <w:lang w:val="lv-LV"/>
        </w:rPr>
        <w:t xml:space="preserve"> ir neliels. Kādi var būt argumenti minētā pamatojum</w:t>
      </w:r>
      <w:r w:rsidR="00A32784" w:rsidRPr="002D6CED">
        <w:rPr>
          <w:rFonts w:ascii="Times New Roman" w:eastAsia="Times New Roman" w:hAnsi="Times New Roman" w:cs="Times New Roman"/>
          <w:b/>
          <w:sz w:val="24"/>
          <w:szCs w:val="20"/>
          <w:lang w:val="lv-LV"/>
        </w:rPr>
        <w:t>a</w:t>
      </w:r>
      <w:r w:rsidRPr="002D6CED">
        <w:rPr>
          <w:rFonts w:ascii="Times New Roman" w:eastAsia="Times New Roman" w:hAnsi="Times New Roman" w:cs="Times New Roman"/>
          <w:b/>
          <w:sz w:val="24"/>
          <w:szCs w:val="20"/>
          <w:lang w:val="lv-LV"/>
        </w:rPr>
        <w:t xml:space="preserve"> gadījumā, ja mātesbanka ir vienīgā tirdzniecības vieta, kas nodrošina rīkojumu izpildi un tirdzniecības platformu sabiedrības klientiem?</w:t>
      </w:r>
      <w:r w:rsidRPr="002D6CED">
        <w:rPr>
          <w:rFonts w:ascii="Times New Roman" w:eastAsia="Times New Roman" w:hAnsi="Times New Roman" w:cs="Times New Roman"/>
          <w:b/>
          <w:sz w:val="24"/>
          <w:szCs w:val="20"/>
          <w:u w:val="single"/>
          <w:lang w:val="lv-LV"/>
        </w:rPr>
        <w:t xml:space="preserve"> </w:t>
      </w:r>
    </w:p>
    <w:p w:rsidR="000051F1" w:rsidRDefault="000051F1" w:rsidP="000051F1">
      <w:pPr>
        <w:spacing w:line="240" w:lineRule="auto"/>
        <w:jc w:val="both"/>
        <w:rPr>
          <w:rFonts w:ascii="Times New Roman" w:hAnsi="Times New Roman" w:cs="Times New Roman"/>
          <w:sz w:val="24"/>
          <w:szCs w:val="24"/>
          <w:lang w:val="lv-LV"/>
        </w:rPr>
      </w:pPr>
      <w:r>
        <w:rPr>
          <w:rFonts w:ascii="Times New Roman" w:eastAsia="Times New Roman" w:hAnsi="Times New Roman" w:cs="Times New Roman"/>
          <w:b/>
          <w:sz w:val="24"/>
          <w:szCs w:val="20"/>
          <w:u w:val="single"/>
          <w:lang w:val="lv-LV"/>
        </w:rPr>
        <w:br/>
      </w:r>
      <w:r w:rsidRPr="00730F90">
        <w:rPr>
          <w:rFonts w:ascii="Times New Roman" w:eastAsia="Times New Roman" w:hAnsi="Times New Roman" w:cs="Times New Roman"/>
          <w:b/>
          <w:sz w:val="24"/>
          <w:szCs w:val="20"/>
          <w:u w:val="single"/>
          <w:lang w:val="lv-LV"/>
        </w:rPr>
        <w:t>Atbilde:</w:t>
      </w:r>
      <w:r w:rsidRPr="006A213E">
        <w:rPr>
          <w:rFonts w:ascii="Times New Roman" w:hAnsi="Times New Roman" w:cs="Times New Roman"/>
          <w:sz w:val="24"/>
          <w:szCs w:val="24"/>
          <w:lang w:val="lv-LV"/>
        </w:rPr>
        <w:t xml:space="preserve"> </w:t>
      </w:r>
      <w:r w:rsidR="000E3A8E">
        <w:rPr>
          <w:rFonts w:ascii="Times New Roman" w:hAnsi="Times New Roman" w:cs="Times New Roman"/>
          <w:sz w:val="24"/>
          <w:szCs w:val="24"/>
          <w:lang w:val="lv-LV"/>
        </w:rPr>
        <w:t>P</w:t>
      </w:r>
      <w:r w:rsidRPr="000E3A8E">
        <w:rPr>
          <w:rFonts w:ascii="Times New Roman" w:hAnsi="Times New Roman" w:cs="Times New Roman"/>
          <w:sz w:val="24"/>
          <w:szCs w:val="24"/>
          <w:lang w:val="lv-LV"/>
        </w:rPr>
        <w:t>amatojum</w:t>
      </w:r>
      <w:r w:rsidR="000E3A8E">
        <w:rPr>
          <w:rFonts w:ascii="Times New Roman" w:hAnsi="Times New Roman" w:cs="Times New Roman"/>
          <w:sz w:val="24"/>
          <w:szCs w:val="24"/>
          <w:lang w:val="lv-LV"/>
        </w:rPr>
        <w:t>s var būt</w:t>
      </w:r>
      <w:r w:rsidRPr="000E3A8E">
        <w:rPr>
          <w:rFonts w:ascii="Times New Roman" w:hAnsi="Times New Roman" w:cs="Times New Roman"/>
          <w:sz w:val="24"/>
          <w:szCs w:val="24"/>
          <w:lang w:val="lv-LV"/>
        </w:rPr>
        <w:t xml:space="preserve"> atsauc</w:t>
      </w:r>
      <w:r w:rsidR="000E3A8E">
        <w:rPr>
          <w:rFonts w:ascii="Times New Roman" w:hAnsi="Times New Roman" w:cs="Times New Roman"/>
          <w:sz w:val="24"/>
          <w:szCs w:val="24"/>
          <w:lang w:val="lv-LV"/>
        </w:rPr>
        <w:t>e</w:t>
      </w:r>
      <w:r>
        <w:rPr>
          <w:rFonts w:ascii="Times New Roman" w:hAnsi="Times New Roman" w:cs="Times New Roman"/>
          <w:sz w:val="24"/>
          <w:szCs w:val="24"/>
          <w:lang w:val="lv-LV"/>
        </w:rPr>
        <w:t xml:space="preserve"> uz </w:t>
      </w:r>
      <w:r w:rsidR="00FB61EA" w:rsidRPr="00FB61EA">
        <w:rPr>
          <w:rFonts w:ascii="Times New Roman" w:hAnsi="Times New Roman" w:cs="Times New Roman"/>
          <w:sz w:val="24"/>
          <w:szCs w:val="24"/>
          <w:lang w:val="lv-LV"/>
        </w:rPr>
        <w:t xml:space="preserve">Komisijas </w:t>
      </w:r>
      <w:r w:rsidR="00BF36A3">
        <w:rPr>
          <w:rFonts w:ascii="Times New Roman" w:hAnsi="Times New Roman" w:cs="Times New Roman"/>
          <w:sz w:val="24"/>
          <w:szCs w:val="24"/>
          <w:lang w:val="lv-LV"/>
        </w:rPr>
        <w:t>07.04.</w:t>
      </w:r>
      <w:r w:rsidR="00FB61EA" w:rsidRPr="00FB61EA">
        <w:rPr>
          <w:rFonts w:ascii="Times New Roman" w:hAnsi="Times New Roman" w:cs="Times New Roman"/>
          <w:sz w:val="24"/>
          <w:szCs w:val="24"/>
          <w:lang w:val="lv-LV"/>
        </w:rPr>
        <w:t xml:space="preserve">2016. Deleģētās direktīvas (ES) 2017/593, ar ko attiecībā uz finanšu instrumentu un klientiem piederošu līdzekļu aizsardzību, produktu pārvaldības prasībām un noteikumiem, kurus piemēro maksu, komisijas naudas vai jebkādu finansiālu vai nefinansiālu labumu sniegšanai vai saņemšanai, papildina Eiropas Parlamenta un Padomes Direktīvu 2014/65/ES, </w:t>
      </w:r>
      <w:r w:rsidRPr="006A213E">
        <w:rPr>
          <w:rFonts w:ascii="Times New Roman" w:hAnsi="Times New Roman" w:cs="Times New Roman"/>
          <w:sz w:val="24"/>
          <w:szCs w:val="24"/>
          <w:lang w:val="lv-LV"/>
        </w:rPr>
        <w:t>preambulas 12.</w:t>
      </w:r>
      <w:r w:rsidR="000E3A8E">
        <w:rPr>
          <w:rFonts w:ascii="Times New Roman" w:hAnsi="Times New Roman" w:cs="Times New Roman"/>
          <w:sz w:val="24"/>
          <w:szCs w:val="24"/>
          <w:lang w:val="lv-LV"/>
        </w:rPr>
        <w:t> </w:t>
      </w:r>
      <w:r w:rsidRPr="006A213E">
        <w:rPr>
          <w:rFonts w:ascii="Times New Roman" w:hAnsi="Times New Roman" w:cs="Times New Roman"/>
          <w:sz w:val="24"/>
          <w:szCs w:val="24"/>
          <w:lang w:val="lv-LV"/>
        </w:rPr>
        <w:t>punktu</w:t>
      </w:r>
      <w:r w:rsidR="000E3A8E">
        <w:rPr>
          <w:rFonts w:ascii="Times New Roman" w:hAnsi="Times New Roman" w:cs="Times New Roman"/>
          <w:sz w:val="24"/>
          <w:szCs w:val="24"/>
          <w:lang w:val="lv-LV"/>
        </w:rPr>
        <w:t> </w:t>
      </w:r>
      <w:r w:rsidRPr="006A213E">
        <w:rPr>
          <w:rFonts w:ascii="Times New Roman" w:hAnsi="Times New Roman" w:cs="Times New Roman"/>
          <w:sz w:val="24"/>
          <w:szCs w:val="24"/>
          <w:lang w:val="lv-LV"/>
        </w:rPr>
        <w:t>– diversifikācijas prasīb</w:t>
      </w:r>
      <w:r>
        <w:rPr>
          <w:rFonts w:ascii="Times New Roman" w:hAnsi="Times New Roman" w:cs="Times New Roman"/>
          <w:sz w:val="24"/>
          <w:szCs w:val="24"/>
          <w:lang w:val="lv-LV"/>
        </w:rPr>
        <w:t xml:space="preserve">a </w:t>
      </w:r>
      <w:r w:rsidRPr="00203F77">
        <w:rPr>
          <w:rFonts w:ascii="Times New Roman" w:hAnsi="Times New Roman" w:cs="Times New Roman"/>
          <w:sz w:val="24"/>
          <w:szCs w:val="24"/>
          <w:lang w:val="lv-LV"/>
        </w:rPr>
        <w:t>nebūtu jāattiecina</w:t>
      </w:r>
      <w:r>
        <w:rPr>
          <w:rFonts w:ascii="Times New Roman" w:hAnsi="Times New Roman" w:cs="Times New Roman"/>
          <w:sz w:val="24"/>
          <w:szCs w:val="24"/>
          <w:lang w:val="lv-LV"/>
        </w:rPr>
        <w:t xml:space="preserve"> </w:t>
      </w:r>
      <w:r w:rsidRPr="006A213E">
        <w:rPr>
          <w:rFonts w:ascii="Times New Roman" w:hAnsi="Times New Roman" w:cs="Times New Roman"/>
          <w:sz w:val="24"/>
          <w:szCs w:val="24"/>
          <w:lang w:val="lv-LV"/>
        </w:rPr>
        <w:t>uz gadījumiem, kad klientu</w:t>
      </w:r>
      <w:r>
        <w:rPr>
          <w:rFonts w:ascii="Times New Roman" w:hAnsi="Times New Roman" w:cs="Times New Roman"/>
          <w:sz w:val="24"/>
          <w:szCs w:val="24"/>
          <w:lang w:val="lv-LV"/>
        </w:rPr>
        <w:t xml:space="preserve"> naudas</w:t>
      </w:r>
      <w:r w:rsidRPr="006A213E">
        <w:rPr>
          <w:rFonts w:ascii="Times New Roman" w:hAnsi="Times New Roman" w:cs="Times New Roman"/>
          <w:sz w:val="24"/>
          <w:szCs w:val="24"/>
          <w:lang w:val="lv-LV"/>
        </w:rPr>
        <w:t xml:space="preserve"> līdzekļi </w:t>
      </w:r>
      <w:r w:rsidR="000E3A8E">
        <w:rPr>
          <w:rFonts w:ascii="Times New Roman" w:hAnsi="Times New Roman" w:cs="Times New Roman"/>
          <w:sz w:val="24"/>
          <w:szCs w:val="24"/>
          <w:lang w:val="lv-LV"/>
        </w:rPr>
        <w:t xml:space="preserve">tiek </w:t>
      </w:r>
      <w:r w:rsidRPr="006A213E">
        <w:rPr>
          <w:rFonts w:ascii="Times New Roman" w:hAnsi="Times New Roman" w:cs="Times New Roman"/>
          <w:sz w:val="24"/>
          <w:szCs w:val="24"/>
          <w:lang w:val="lv-LV"/>
        </w:rPr>
        <w:t>glabā</w:t>
      </w:r>
      <w:r w:rsidR="000E3A8E">
        <w:rPr>
          <w:rFonts w:ascii="Times New Roman" w:hAnsi="Times New Roman" w:cs="Times New Roman"/>
          <w:sz w:val="24"/>
          <w:szCs w:val="24"/>
          <w:lang w:val="lv-LV"/>
        </w:rPr>
        <w:t>ti</w:t>
      </w:r>
      <w:r w:rsidRPr="006A213E">
        <w:rPr>
          <w:rFonts w:ascii="Times New Roman" w:hAnsi="Times New Roman" w:cs="Times New Roman"/>
          <w:sz w:val="24"/>
          <w:szCs w:val="24"/>
          <w:lang w:val="lv-LV"/>
        </w:rPr>
        <w:t xml:space="preserve"> rīkojumu izpildes nodrošināšanai. </w:t>
      </w:r>
    </w:p>
    <w:p w:rsidR="000051F1" w:rsidRPr="00671492" w:rsidRDefault="000051F1" w:rsidP="000051F1">
      <w:pPr>
        <w:spacing w:line="240" w:lineRule="auto"/>
        <w:jc w:val="both"/>
        <w:rPr>
          <w:rFonts w:ascii="Times New Roman" w:hAnsi="Times New Roman" w:cs="Times New Roman"/>
          <w:sz w:val="24"/>
          <w:szCs w:val="24"/>
          <w:lang w:val="lv-LV"/>
        </w:rPr>
      </w:pPr>
    </w:p>
    <w:p w:rsidR="000051F1" w:rsidRDefault="000051F1" w:rsidP="00781429">
      <w:pPr>
        <w:spacing w:after="0" w:line="240" w:lineRule="auto"/>
        <w:jc w:val="both"/>
        <w:rPr>
          <w:rFonts w:ascii="Times New Roman" w:eastAsia="Times New Roman" w:hAnsi="Times New Roman" w:cs="Times New Roman"/>
          <w:b/>
          <w:sz w:val="24"/>
          <w:szCs w:val="20"/>
          <w:u w:val="single"/>
          <w:lang w:val="lv-LV"/>
        </w:rPr>
      </w:pPr>
    </w:p>
    <w:sectPr w:rsidR="000051F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CC" w:rsidRDefault="00272FCC" w:rsidP="007C35D6">
      <w:pPr>
        <w:spacing w:after="0" w:line="240" w:lineRule="auto"/>
      </w:pPr>
      <w:r>
        <w:separator/>
      </w:r>
    </w:p>
  </w:endnote>
  <w:endnote w:type="continuationSeparator" w:id="0">
    <w:p w:rsidR="00272FCC" w:rsidRDefault="00272FCC" w:rsidP="007C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75839925"/>
      <w:docPartObj>
        <w:docPartGallery w:val="Page Numbers (Bottom of Page)"/>
        <w:docPartUnique/>
      </w:docPartObj>
    </w:sdtPr>
    <w:sdtEndPr>
      <w:rPr>
        <w:noProof/>
      </w:rPr>
    </w:sdtEndPr>
    <w:sdtContent>
      <w:p w:rsidR="007B1B39" w:rsidRPr="00711B91" w:rsidRDefault="007B1B39" w:rsidP="00711B91">
        <w:pPr>
          <w:pStyle w:val="Footer"/>
          <w:jc w:val="center"/>
          <w:rPr>
            <w:rFonts w:ascii="Times New Roman" w:hAnsi="Times New Roman" w:cs="Times New Roman"/>
          </w:rPr>
        </w:pPr>
        <w:r w:rsidRPr="00711B91">
          <w:rPr>
            <w:rFonts w:ascii="Times New Roman" w:hAnsi="Times New Roman" w:cs="Times New Roman"/>
          </w:rPr>
          <w:fldChar w:fldCharType="begin"/>
        </w:r>
        <w:r w:rsidRPr="00711B91">
          <w:rPr>
            <w:rFonts w:ascii="Times New Roman" w:hAnsi="Times New Roman" w:cs="Times New Roman"/>
          </w:rPr>
          <w:instrText xml:space="preserve"> PAGE   \* MERGEFORMAT </w:instrText>
        </w:r>
        <w:r w:rsidRPr="00711B91">
          <w:rPr>
            <w:rFonts w:ascii="Times New Roman" w:hAnsi="Times New Roman" w:cs="Times New Roman"/>
          </w:rPr>
          <w:fldChar w:fldCharType="separate"/>
        </w:r>
        <w:r w:rsidR="0035397E">
          <w:rPr>
            <w:rFonts w:ascii="Times New Roman" w:hAnsi="Times New Roman" w:cs="Times New Roman"/>
            <w:noProof/>
          </w:rPr>
          <w:t>1</w:t>
        </w:r>
        <w:r w:rsidRPr="00711B9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CC" w:rsidRDefault="00272FCC" w:rsidP="007C35D6">
      <w:pPr>
        <w:spacing w:after="0" w:line="240" w:lineRule="auto"/>
      </w:pPr>
      <w:r>
        <w:separator/>
      </w:r>
    </w:p>
  </w:footnote>
  <w:footnote w:type="continuationSeparator" w:id="0">
    <w:p w:rsidR="00272FCC" w:rsidRDefault="00272FCC" w:rsidP="007C3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71A"/>
    <w:multiLevelType w:val="hybridMultilevel"/>
    <w:tmpl w:val="BB10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2BB7"/>
    <w:multiLevelType w:val="hybridMultilevel"/>
    <w:tmpl w:val="25E87D88"/>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7745C"/>
    <w:multiLevelType w:val="hybridMultilevel"/>
    <w:tmpl w:val="12DE1598"/>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377E7"/>
    <w:multiLevelType w:val="hybridMultilevel"/>
    <w:tmpl w:val="9040631C"/>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F07DC"/>
    <w:multiLevelType w:val="hybridMultilevel"/>
    <w:tmpl w:val="7CE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2"/>
    <w:rsid w:val="000051F1"/>
    <w:rsid w:val="0001077C"/>
    <w:rsid w:val="000140EE"/>
    <w:rsid w:val="000221C5"/>
    <w:rsid w:val="00025CE0"/>
    <w:rsid w:val="00034376"/>
    <w:rsid w:val="000470E3"/>
    <w:rsid w:val="00070529"/>
    <w:rsid w:val="000956B9"/>
    <w:rsid w:val="000D5626"/>
    <w:rsid w:val="000E3A8E"/>
    <w:rsid w:val="001A67A6"/>
    <w:rsid w:val="001C0A7D"/>
    <w:rsid w:val="00200802"/>
    <w:rsid w:val="00203F77"/>
    <w:rsid w:val="00212483"/>
    <w:rsid w:val="00247EF3"/>
    <w:rsid w:val="002678FD"/>
    <w:rsid w:val="00272FCC"/>
    <w:rsid w:val="002D6CED"/>
    <w:rsid w:val="00303782"/>
    <w:rsid w:val="00306887"/>
    <w:rsid w:val="00327405"/>
    <w:rsid w:val="00332518"/>
    <w:rsid w:val="00334E0B"/>
    <w:rsid w:val="0035397E"/>
    <w:rsid w:val="003614D3"/>
    <w:rsid w:val="00376BDF"/>
    <w:rsid w:val="003B2645"/>
    <w:rsid w:val="003E2047"/>
    <w:rsid w:val="00405D44"/>
    <w:rsid w:val="00416943"/>
    <w:rsid w:val="00420DF3"/>
    <w:rsid w:val="004B4DE7"/>
    <w:rsid w:val="004D3A55"/>
    <w:rsid w:val="004D5E7D"/>
    <w:rsid w:val="00526EE2"/>
    <w:rsid w:val="005C379F"/>
    <w:rsid w:val="005C61A7"/>
    <w:rsid w:val="005D07C6"/>
    <w:rsid w:val="005F2951"/>
    <w:rsid w:val="005F7442"/>
    <w:rsid w:val="00631B37"/>
    <w:rsid w:val="006544BD"/>
    <w:rsid w:val="006628B8"/>
    <w:rsid w:val="00671492"/>
    <w:rsid w:val="0069436E"/>
    <w:rsid w:val="00697F75"/>
    <w:rsid w:val="006A213E"/>
    <w:rsid w:val="006F3B17"/>
    <w:rsid w:val="00705994"/>
    <w:rsid w:val="00711B91"/>
    <w:rsid w:val="00730F90"/>
    <w:rsid w:val="0075078C"/>
    <w:rsid w:val="00767FED"/>
    <w:rsid w:val="00777589"/>
    <w:rsid w:val="00781429"/>
    <w:rsid w:val="0078684F"/>
    <w:rsid w:val="007B1B39"/>
    <w:rsid w:val="007B4942"/>
    <w:rsid w:val="007C35D6"/>
    <w:rsid w:val="007C62A5"/>
    <w:rsid w:val="007E41BD"/>
    <w:rsid w:val="007F175F"/>
    <w:rsid w:val="00807F90"/>
    <w:rsid w:val="00872F19"/>
    <w:rsid w:val="00873E9F"/>
    <w:rsid w:val="00876ECA"/>
    <w:rsid w:val="00882DE5"/>
    <w:rsid w:val="00917445"/>
    <w:rsid w:val="0094634F"/>
    <w:rsid w:val="0098454A"/>
    <w:rsid w:val="00A117C4"/>
    <w:rsid w:val="00A13FD1"/>
    <w:rsid w:val="00A32784"/>
    <w:rsid w:val="00A35068"/>
    <w:rsid w:val="00A471AC"/>
    <w:rsid w:val="00A47596"/>
    <w:rsid w:val="00A504D8"/>
    <w:rsid w:val="00A943B1"/>
    <w:rsid w:val="00A97050"/>
    <w:rsid w:val="00B1374A"/>
    <w:rsid w:val="00B24B60"/>
    <w:rsid w:val="00B466EF"/>
    <w:rsid w:val="00B850B1"/>
    <w:rsid w:val="00B91724"/>
    <w:rsid w:val="00BF36A3"/>
    <w:rsid w:val="00C029D5"/>
    <w:rsid w:val="00C24776"/>
    <w:rsid w:val="00C5584D"/>
    <w:rsid w:val="00C60C32"/>
    <w:rsid w:val="00C83315"/>
    <w:rsid w:val="00D314F1"/>
    <w:rsid w:val="00D36450"/>
    <w:rsid w:val="00D474C4"/>
    <w:rsid w:val="00DA46E1"/>
    <w:rsid w:val="00DA698C"/>
    <w:rsid w:val="00DC0702"/>
    <w:rsid w:val="00DC18FA"/>
    <w:rsid w:val="00DE1B7C"/>
    <w:rsid w:val="00DE4872"/>
    <w:rsid w:val="00DF191E"/>
    <w:rsid w:val="00EE2AD4"/>
    <w:rsid w:val="00F35414"/>
    <w:rsid w:val="00F64B8D"/>
    <w:rsid w:val="00F6725A"/>
    <w:rsid w:val="00F67839"/>
    <w:rsid w:val="00FA3239"/>
    <w:rsid w:val="00FB61EA"/>
    <w:rsid w:val="00FC1600"/>
    <w:rsid w:val="00FE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8519FF-E323-4284-9DAC-3D7444D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9"/>
    <w:qFormat/>
    <w:rsid w:val="00F67839"/>
    <w:pPr>
      <w:keepNext/>
      <w:keepLines/>
      <w:spacing w:after="0" w:line="240" w:lineRule="auto"/>
      <w:jc w:val="both"/>
      <w:outlineLvl w:val="0"/>
    </w:pPr>
    <w:rPr>
      <w:rFonts w:ascii="Times New Roman" w:eastAsia="Times New Roman" w:hAnsi="Times New Roman" w:cs="Times New Roman"/>
      <w:b/>
      <w:kern w:val="28"/>
      <w:sz w:val="32"/>
      <w:szCs w:val="20"/>
      <w:lang w:val="lv-LV"/>
    </w:rPr>
  </w:style>
  <w:style w:type="paragraph" w:styleId="Heading2">
    <w:name w:val="heading 2"/>
    <w:basedOn w:val="Normal"/>
    <w:next w:val="Normal"/>
    <w:link w:val="Heading2Char"/>
    <w:uiPriority w:val="9"/>
    <w:semiHidden/>
    <w:unhideWhenUsed/>
    <w:qFormat/>
    <w:rsid w:val="004D5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42"/>
    <w:pPr>
      <w:ind w:left="720"/>
      <w:contextualSpacing/>
    </w:pPr>
  </w:style>
  <w:style w:type="character" w:customStyle="1" w:styleId="Heading1Char">
    <w:name w:val="Heading 1 Char"/>
    <w:basedOn w:val="DefaultParagraphFont"/>
    <w:link w:val="Heading1"/>
    <w:uiPriority w:val="99"/>
    <w:rsid w:val="00F67839"/>
    <w:rPr>
      <w:rFonts w:ascii="Times New Roman" w:eastAsia="Times New Roman" w:hAnsi="Times New Roman" w:cs="Times New Roman"/>
      <w:b/>
      <w:kern w:val="28"/>
      <w:sz w:val="32"/>
      <w:szCs w:val="20"/>
      <w:lang w:val="lv-LV"/>
    </w:rPr>
  </w:style>
  <w:style w:type="paragraph" w:customStyle="1" w:styleId="Teksts1">
    <w:name w:val="Teksts1"/>
    <w:basedOn w:val="Normal"/>
    <w:link w:val="Teksts1Char"/>
    <w:rsid w:val="00F67839"/>
    <w:pPr>
      <w:spacing w:after="320" w:line="240" w:lineRule="auto"/>
      <w:jc w:val="both"/>
    </w:pPr>
    <w:rPr>
      <w:rFonts w:ascii="Times New Roman" w:eastAsia="Times New Roman" w:hAnsi="Times New Roman" w:cs="Times New Roman"/>
      <w:sz w:val="24"/>
      <w:szCs w:val="20"/>
      <w:lang w:val="lv-LV" w:eastAsia="x-none"/>
    </w:rPr>
  </w:style>
  <w:style w:type="character" w:customStyle="1" w:styleId="Teksts1Char">
    <w:name w:val="Teksts1 Char"/>
    <w:link w:val="Teksts1"/>
    <w:rsid w:val="00F67839"/>
    <w:rPr>
      <w:rFonts w:ascii="Times New Roman" w:eastAsia="Times New Roman" w:hAnsi="Times New Roman" w:cs="Times New Roman"/>
      <w:sz w:val="24"/>
      <w:szCs w:val="20"/>
      <w:lang w:val="lv-LV" w:eastAsia="x-none"/>
    </w:rPr>
  </w:style>
  <w:style w:type="character" w:customStyle="1" w:styleId="Heading2Char">
    <w:name w:val="Heading 2 Char"/>
    <w:basedOn w:val="DefaultParagraphFont"/>
    <w:link w:val="Heading2"/>
    <w:uiPriority w:val="9"/>
    <w:semiHidden/>
    <w:rsid w:val="004D5E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0B"/>
    <w:rPr>
      <w:rFonts w:ascii="Tahoma" w:hAnsi="Tahoma" w:cs="Tahoma"/>
      <w:sz w:val="16"/>
      <w:szCs w:val="16"/>
    </w:rPr>
  </w:style>
  <w:style w:type="character" w:styleId="Hyperlink">
    <w:name w:val="Hyperlink"/>
    <w:basedOn w:val="DefaultParagraphFont"/>
    <w:uiPriority w:val="99"/>
    <w:unhideWhenUsed/>
    <w:rsid w:val="007C35D6"/>
    <w:rPr>
      <w:color w:val="0000FF" w:themeColor="hyperlink"/>
      <w:u w:val="single"/>
    </w:rPr>
  </w:style>
  <w:style w:type="paragraph" w:styleId="FootnoteText">
    <w:name w:val="footnote text"/>
    <w:basedOn w:val="Normal"/>
    <w:link w:val="FootnoteTextChar"/>
    <w:uiPriority w:val="99"/>
    <w:semiHidden/>
    <w:unhideWhenUsed/>
    <w:rsid w:val="007C35D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7C35D6"/>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7C35D6"/>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7C35D6"/>
    <w:rPr>
      <w:color w:val="800080" w:themeColor="followedHyperlink"/>
      <w:u w:val="single"/>
    </w:rPr>
  </w:style>
  <w:style w:type="paragraph" w:styleId="Header">
    <w:name w:val="header"/>
    <w:basedOn w:val="Normal"/>
    <w:link w:val="HeaderChar"/>
    <w:uiPriority w:val="99"/>
    <w:unhideWhenUsed/>
    <w:rsid w:val="0094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4F"/>
  </w:style>
  <w:style w:type="paragraph" w:styleId="Footer">
    <w:name w:val="footer"/>
    <w:basedOn w:val="Normal"/>
    <w:link w:val="FooterChar"/>
    <w:uiPriority w:val="99"/>
    <w:unhideWhenUsed/>
    <w:rsid w:val="0094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4F"/>
  </w:style>
  <w:style w:type="character" w:styleId="CommentReference">
    <w:name w:val="annotation reference"/>
    <w:basedOn w:val="DefaultParagraphFont"/>
    <w:uiPriority w:val="99"/>
    <w:semiHidden/>
    <w:unhideWhenUsed/>
    <w:rsid w:val="00B850B1"/>
    <w:rPr>
      <w:sz w:val="16"/>
      <w:szCs w:val="16"/>
    </w:rPr>
  </w:style>
  <w:style w:type="paragraph" w:styleId="CommentText">
    <w:name w:val="annotation text"/>
    <w:basedOn w:val="Normal"/>
    <w:link w:val="CommentTextChar"/>
    <w:uiPriority w:val="99"/>
    <w:semiHidden/>
    <w:unhideWhenUsed/>
    <w:rsid w:val="00B850B1"/>
    <w:pPr>
      <w:spacing w:line="240" w:lineRule="auto"/>
    </w:pPr>
    <w:rPr>
      <w:sz w:val="20"/>
      <w:szCs w:val="20"/>
    </w:rPr>
  </w:style>
  <w:style w:type="character" w:customStyle="1" w:styleId="CommentTextChar">
    <w:name w:val="Comment Text Char"/>
    <w:basedOn w:val="DefaultParagraphFont"/>
    <w:link w:val="CommentText"/>
    <w:uiPriority w:val="99"/>
    <w:semiHidden/>
    <w:rsid w:val="00B850B1"/>
    <w:rPr>
      <w:sz w:val="20"/>
      <w:szCs w:val="20"/>
    </w:rPr>
  </w:style>
  <w:style w:type="paragraph" w:styleId="CommentSubject">
    <w:name w:val="annotation subject"/>
    <w:basedOn w:val="CommentText"/>
    <w:next w:val="CommentText"/>
    <w:link w:val="CommentSubjectChar"/>
    <w:uiPriority w:val="99"/>
    <w:semiHidden/>
    <w:unhideWhenUsed/>
    <w:rsid w:val="00B850B1"/>
    <w:rPr>
      <w:b/>
      <w:bCs/>
    </w:rPr>
  </w:style>
  <w:style w:type="character" w:customStyle="1" w:styleId="CommentSubjectChar">
    <w:name w:val="Comment Subject Char"/>
    <w:basedOn w:val="CommentTextChar"/>
    <w:link w:val="CommentSubject"/>
    <w:uiPriority w:val="99"/>
    <w:semiHidden/>
    <w:rsid w:val="00B850B1"/>
    <w:rPr>
      <w:b/>
      <w:bCs/>
      <w:sz w:val="20"/>
      <w:szCs w:val="20"/>
    </w:rPr>
  </w:style>
  <w:style w:type="paragraph" w:styleId="NoSpacing">
    <w:name w:val="No Spacing"/>
    <w:uiPriority w:val="1"/>
    <w:qFormat/>
    <w:rsid w:val="002D6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9217">
      <w:bodyDiv w:val="1"/>
      <w:marLeft w:val="0"/>
      <w:marRight w:val="0"/>
      <w:marTop w:val="0"/>
      <w:marBottom w:val="0"/>
      <w:divBdr>
        <w:top w:val="none" w:sz="0" w:space="0" w:color="auto"/>
        <w:left w:val="none" w:sz="0" w:space="0" w:color="auto"/>
        <w:bottom w:val="none" w:sz="0" w:space="0" w:color="auto"/>
        <w:right w:val="none" w:sz="0" w:space="0" w:color="auto"/>
      </w:divBdr>
      <w:divsChild>
        <w:div w:id="1273974253">
          <w:marLeft w:val="0"/>
          <w:marRight w:val="0"/>
          <w:marTop w:val="0"/>
          <w:marBottom w:val="0"/>
          <w:divBdr>
            <w:top w:val="none" w:sz="0" w:space="0" w:color="auto"/>
            <w:left w:val="none" w:sz="0" w:space="0" w:color="auto"/>
            <w:bottom w:val="none" w:sz="0" w:space="0" w:color="auto"/>
            <w:right w:val="none" w:sz="0" w:space="0" w:color="auto"/>
          </w:divBdr>
        </w:div>
      </w:divsChild>
    </w:div>
    <w:div w:id="1007633637">
      <w:bodyDiv w:val="1"/>
      <w:marLeft w:val="0"/>
      <w:marRight w:val="0"/>
      <w:marTop w:val="0"/>
      <w:marBottom w:val="0"/>
      <w:divBdr>
        <w:top w:val="none" w:sz="0" w:space="0" w:color="auto"/>
        <w:left w:val="none" w:sz="0" w:space="0" w:color="auto"/>
        <w:bottom w:val="none" w:sz="0" w:space="0" w:color="auto"/>
        <w:right w:val="none" w:sz="0" w:space="0" w:color="auto"/>
      </w:divBdr>
    </w:div>
    <w:div w:id="1606766688">
      <w:bodyDiv w:val="1"/>
      <w:marLeft w:val="0"/>
      <w:marRight w:val="0"/>
      <w:marTop w:val="0"/>
      <w:marBottom w:val="0"/>
      <w:divBdr>
        <w:top w:val="none" w:sz="0" w:space="0" w:color="auto"/>
        <w:left w:val="none" w:sz="0" w:space="0" w:color="auto"/>
        <w:bottom w:val="none" w:sz="0" w:space="0" w:color="auto"/>
        <w:right w:val="none" w:sz="0" w:space="0" w:color="auto"/>
      </w:divBdr>
    </w:div>
    <w:div w:id="19187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07B-E0A6-4E7D-8F38-CD05DA30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3005</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Karpova</dc:creator>
  <cp:lastModifiedBy>Dace Jansone</cp:lastModifiedBy>
  <cp:revision>2</cp:revision>
  <dcterms:created xsi:type="dcterms:W3CDTF">2019-01-22T10:11:00Z</dcterms:created>
  <dcterms:modified xsi:type="dcterms:W3CDTF">2019-01-22T10:11:00Z</dcterms:modified>
</cp:coreProperties>
</file>